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B209E" w14:textId="4C49F40B" w:rsidR="009E4832" w:rsidRDefault="00340D0A" w:rsidP="00340D0A">
      <w:pPr>
        <w:spacing w:line="48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D0A">
        <w:rPr>
          <w:rFonts w:ascii="Arial" w:hAnsi="Arial" w:cs="Arial"/>
          <w:sz w:val="24"/>
          <w:szCs w:val="24"/>
        </w:rPr>
        <w:t xml:space="preserve">A distribuição </w:t>
      </w:r>
      <w:r>
        <w:rPr>
          <w:rFonts w:ascii="Arial" w:hAnsi="Arial" w:cs="Arial"/>
          <w:sz w:val="24"/>
          <w:szCs w:val="24"/>
        </w:rPr>
        <w:t xml:space="preserve">média </w:t>
      </w:r>
      <w:r w:rsidRPr="00340D0A">
        <w:rPr>
          <w:rFonts w:ascii="Arial" w:hAnsi="Arial" w:cs="Arial"/>
          <w:sz w:val="24"/>
          <w:szCs w:val="24"/>
        </w:rPr>
        <w:t>de tamanho e o índice de polidispersividade foram determinados pela técnica de espalhamento dinâmico de luz (DLS). O potencial zeta foi medido pelo método de microeletroforese. Estas análises foram realizadas utilizando um sistema Zeta Sizer Nano ZS90 (Malvern Instruments, UK) num ângulo fixo de 90 ° e 25 ° C. As concentrações de nanopartículas, distribuições de tamanho e Span também foram medidas por análise de rastreamento de nanopartículas (NTA), usando uma célula NanoSight LM 10 (laser verde com comprimento de onda de 532nm) e uma câmera sCMOS, controlada pelo software NanoSight v. 3.2 (Grillo et al., 2012, 2014).</w:t>
      </w:r>
      <w:r>
        <w:rPr>
          <w:rFonts w:ascii="Arial" w:hAnsi="Arial" w:cs="Arial"/>
          <w:sz w:val="24"/>
          <w:szCs w:val="24"/>
        </w:rPr>
        <w:t xml:space="preserve"> </w:t>
      </w:r>
      <w:r w:rsidRPr="00340D0A">
        <w:rPr>
          <w:rFonts w:ascii="Arial" w:hAnsi="Arial" w:cs="Arial"/>
          <w:sz w:val="24"/>
          <w:szCs w:val="24"/>
        </w:rPr>
        <w:t>Para essas análises, as amostras foram diluídas 1000 × em água ultrapura</w:t>
      </w:r>
      <w:r>
        <w:rPr>
          <w:rFonts w:ascii="Arial" w:hAnsi="Arial" w:cs="Arial"/>
          <w:sz w:val="24"/>
          <w:szCs w:val="24"/>
        </w:rPr>
        <w:t>.</w:t>
      </w:r>
    </w:p>
    <w:p w14:paraId="4C2432AC" w14:textId="2687A10B" w:rsidR="00340D0A" w:rsidRPr="00340D0A" w:rsidRDefault="00340D0A" w:rsidP="00340D0A">
      <w:pPr>
        <w:spacing w:line="48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D0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 a</w:t>
      </w:r>
      <w:r w:rsidRPr="00340D0A">
        <w:rPr>
          <w:rFonts w:ascii="Arial" w:hAnsi="Arial" w:cs="Arial"/>
          <w:sz w:val="24"/>
          <w:szCs w:val="24"/>
        </w:rPr>
        <w:t xml:space="preserve">nálises de estabilidade foram realizadas usando alíquotas de amostras após 0, 10, 20, 30, 40, 50, 60, 90 e 120min de incubação na solução salina. Cada resultado foi expresso como a média de três determinações. </w:t>
      </w:r>
      <w:r>
        <w:rPr>
          <w:rFonts w:ascii="Arial" w:hAnsi="Arial" w:cs="Arial"/>
          <w:sz w:val="24"/>
          <w:szCs w:val="24"/>
        </w:rPr>
        <w:t>Para a microscopia, a</w:t>
      </w:r>
      <w:r w:rsidRPr="00340D0A">
        <w:rPr>
          <w:rFonts w:ascii="Arial" w:hAnsi="Arial" w:cs="Arial"/>
          <w:sz w:val="24"/>
          <w:szCs w:val="24"/>
        </w:rPr>
        <w:t>líquotas de nanopartículas de zeína carregadas com óleo de n</w:t>
      </w:r>
      <w:r>
        <w:rPr>
          <w:rFonts w:ascii="Arial" w:hAnsi="Arial" w:cs="Arial"/>
          <w:sz w:val="24"/>
          <w:szCs w:val="24"/>
        </w:rPr>
        <w:t>ee</w:t>
      </w:r>
      <w:bookmarkStart w:id="0" w:name="_GoBack"/>
      <w:bookmarkEnd w:id="0"/>
      <w:r w:rsidRPr="00340D0A">
        <w:rPr>
          <w:rFonts w:ascii="Arial" w:hAnsi="Arial" w:cs="Arial"/>
          <w:sz w:val="24"/>
          <w:szCs w:val="24"/>
        </w:rPr>
        <w:t>m foram coletadas e diluídas em água ultrapura. As amostras foram gotejadas em um amostrador de placa de silicone e mantidas em um dessecador para secagem completa. As amostras foram analisadas usando um microscópio de força atômica Easy Scan 2 Basic BT02217 (Nanosurf, Suíça) operado em modo sem contato com cantoneiras TapAl-G (BudgetSensors, Bulgária) e voltagem de ponta de 90 Hz. As imagens adquiridas foram analisadas usando o software Gwyddion.</w:t>
      </w:r>
    </w:p>
    <w:sectPr w:rsidR="00340D0A" w:rsidRPr="00340D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832"/>
    <w:rsid w:val="00340D0A"/>
    <w:rsid w:val="009E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7999"/>
  <w15:chartTrackingRefBased/>
  <w15:docId w15:val="{BFD6CD08-CB42-4BEF-98D1-D25DBBDE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2</cp:revision>
  <dcterms:created xsi:type="dcterms:W3CDTF">2019-06-27T19:22:00Z</dcterms:created>
  <dcterms:modified xsi:type="dcterms:W3CDTF">2019-06-27T19:29:00Z</dcterms:modified>
</cp:coreProperties>
</file>